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0B684" w14:textId="77777777" w:rsidR="00D11908" w:rsidRPr="00F474AB" w:rsidRDefault="00D11908" w:rsidP="00D11908">
      <w:pPr>
        <w:pStyle w:val="Heading1"/>
      </w:pPr>
      <w:bookmarkStart w:id="0" w:name="_Hlk4673328"/>
      <w:r w:rsidRPr="00F474AB">
        <w:t>AGENDA</w:t>
      </w:r>
    </w:p>
    <w:p w14:paraId="47D6BE85" w14:textId="77777777" w:rsidR="00D11908" w:rsidRPr="00F474AB" w:rsidRDefault="00D11908" w:rsidP="00D11908">
      <w:pPr>
        <w:pStyle w:val="Heading2"/>
      </w:pPr>
      <w:r w:rsidRPr="00F474AB">
        <w:t>CALIFORNIA TRANSPORTATION COMMISSION</w:t>
      </w:r>
    </w:p>
    <w:p w14:paraId="23AB593E" w14:textId="627CCF6A" w:rsidR="00D11908" w:rsidRDefault="006D69A4" w:rsidP="00D11908">
      <w:pPr>
        <w:jc w:val="center"/>
        <w:rPr>
          <w:b/>
          <w:sz w:val="28"/>
          <w:szCs w:val="28"/>
        </w:rPr>
      </w:pPr>
      <w:bookmarkStart w:id="1" w:name="_Hlk83711347"/>
      <w:r>
        <w:rPr>
          <w:b/>
          <w:sz w:val="28"/>
          <w:szCs w:val="28"/>
        </w:rPr>
        <w:t xml:space="preserve">Draft </w:t>
      </w:r>
      <w:r w:rsidR="00F70F47">
        <w:rPr>
          <w:b/>
          <w:sz w:val="28"/>
          <w:szCs w:val="28"/>
        </w:rPr>
        <w:t xml:space="preserve">2022 </w:t>
      </w:r>
      <w:r w:rsidR="00D11908" w:rsidRPr="00D11908">
        <w:rPr>
          <w:b/>
          <w:sz w:val="28"/>
          <w:szCs w:val="28"/>
        </w:rPr>
        <w:t>Interregional Transportation Improvement Program</w:t>
      </w:r>
      <w:r w:rsidR="00D11908">
        <w:rPr>
          <w:b/>
          <w:sz w:val="28"/>
          <w:szCs w:val="28"/>
        </w:rPr>
        <w:t xml:space="preserve"> Hearing</w:t>
      </w:r>
    </w:p>
    <w:bookmarkEnd w:id="1"/>
    <w:p w14:paraId="1457C29F" w14:textId="004CF6F9" w:rsidR="00D11908" w:rsidRPr="006E705A" w:rsidRDefault="00D11908" w:rsidP="00D11908">
      <w:pPr>
        <w:jc w:val="center"/>
        <w:rPr>
          <w:b/>
          <w:sz w:val="28"/>
          <w:szCs w:val="28"/>
        </w:rPr>
      </w:pPr>
      <w:r w:rsidRPr="006E705A">
        <w:rPr>
          <w:b/>
          <w:sz w:val="28"/>
          <w:szCs w:val="28"/>
        </w:rPr>
        <w:t>www.catc.ca.gov</w:t>
      </w:r>
    </w:p>
    <w:p w14:paraId="05D1FA20" w14:textId="1429CBE7" w:rsidR="00D11908" w:rsidRPr="006E705A" w:rsidRDefault="009D0CF3" w:rsidP="00D11908">
      <w:pPr>
        <w:jc w:val="center"/>
        <w:rPr>
          <w:b/>
          <w:sz w:val="28"/>
          <w:szCs w:val="28"/>
        </w:rPr>
      </w:pPr>
      <w:r>
        <w:rPr>
          <w:b/>
          <w:sz w:val="28"/>
          <w:szCs w:val="28"/>
        </w:rPr>
        <w:t xml:space="preserve">November </w:t>
      </w:r>
      <w:r w:rsidR="002C7C5B">
        <w:rPr>
          <w:b/>
          <w:sz w:val="28"/>
          <w:szCs w:val="28"/>
        </w:rPr>
        <w:t>8</w:t>
      </w:r>
      <w:r w:rsidR="00D11908" w:rsidRPr="006E705A">
        <w:rPr>
          <w:b/>
          <w:sz w:val="28"/>
          <w:szCs w:val="28"/>
        </w:rPr>
        <w:t>, 20</w:t>
      </w:r>
      <w:r w:rsidR="00D11908">
        <w:rPr>
          <w:b/>
          <w:sz w:val="28"/>
          <w:szCs w:val="28"/>
        </w:rPr>
        <w:t>21</w:t>
      </w:r>
    </w:p>
    <w:bookmarkEnd w:id="0"/>
    <w:p w14:paraId="63753F1E" w14:textId="77777777" w:rsidR="00D11908" w:rsidRDefault="00D11908" w:rsidP="00D11908">
      <w:pPr>
        <w:spacing w:after="240"/>
        <w:jc w:val="center"/>
        <w:rPr>
          <w:b/>
          <w:sz w:val="28"/>
          <w:szCs w:val="28"/>
        </w:rPr>
      </w:pPr>
      <w:r>
        <w:rPr>
          <w:b/>
          <w:sz w:val="28"/>
          <w:szCs w:val="28"/>
        </w:rPr>
        <w:t>Via Webinar</w:t>
      </w:r>
    </w:p>
    <w:p w14:paraId="24034328" w14:textId="77777777" w:rsidR="00D11908" w:rsidRDefault="00D11908" w:rsidP="00D11908">
      <w:pPr>
        <w:pStyle w:val="Heading3"/>
        <w:jc w:val="left"/>
        <w:sectPr w:rsidR="00D11908" w:rsidSect="00542F2B">
          <w:headerReference w:type="default" r:id="rId7"/>
          <w:footerReference w:type="default" r:id="rId8"/>
          <w:footerReference w:type="first" r:id="rId9"/>
          <w:type w:val="continuous"/>
          <w:pgSz w:w="12240" w:h="15840"/>
          <w:pgMar w:top="720" w:right="720" w:bottom="720" w:left="720" w:header="720" w:footer="720" w:gutter="0"/>
          <w:cols w:space="720"/>
          <w:titlePg/>
          <w:docGrid w:linePitch="360"/>
        </w:sectPr>
      </w:pPr>
    </w:p>
    <w:p w14:paraId="2C342688" w14:textId="295A5DD3" w:rsidR="00D11908" w:rsidRPr="00AD4568" w:rsidRDefault="00D11908" w:rsidP="00D11908">
      <w:pPr>
        <w:pStyle w:val="Heading3"/>
        <w:spacing w:before="120" w:after="240"/>
        <w:jc w:val="right"/>
      </w:pPr>
      <w:r>
        <w:t>Mon</w:t>
      </w:r>
      <w:r w:rsidRPr="00AD4568">
        <w:t xml:space="preserve">day, </w:t>
      </w:r>
      <w:r>
        <w:t xml:space="preserve">November </w:t>
      </w:r>
      <w:r w:rsidR="002C7C5B">
        <w:t>8</w:t>
      </w:r>
      <w:r w:rsidRPr="00663163">
        <w:t>,</w:t>
      </w:r>
      <w:r w:rsidRPr="00AD4568">
        <w:t xml:space="preserve"> 20</w:t>
      </w:r>
      <w:r>
        <w:t>21</w:t>
      </w:r>
    </w:p>
    <w:p w14:paraId="67B6F071" w14:textId="2590D200" w:rsidR="00D11908" w:rsidRPr="001F2A12" w:rsidRDefault="002C7C5B" w:rsidP="00D11908">
      <w:pPr>
        <w:pStyle w:val="NoSpacing"/>
        <w:spacing w:after="240"/>
        <w:jc w:val="right"/>
      </w:pPr>
      <w:r>
        <w:t>9</w:t>
      </w:r>
      <w:r w:rsidR="00D11908">
        <w:t>:00</w:t>
      </w:r>
      <w:r w:rsidR="00D11908" w:rsidRPr="001F2A12">
        <w:t xml:space="preserve"> </w:t>
      </w:r>
      <w:r w:rsidR="00D11908">
        <w:t>P</w:t>
      </w:r>
      <w:r w:rsidR="00D11908" w:rsidRPr="001F2A12">
        <w:t>M</w:t>
      </w:r>
    </w:p>
    <w:p w14:paraId="7033125D" w14:textId="35C0563B" w:rsidR="00D11908" w:rsidRPr="00195333" w:rsidRDefault="00D11908" w:rsidP="00D11908">
      <w:pPr>
        <w:spacing w:before="880"/>
        <w:rPr>
          <w:b/>
          <w:sz w:val="26"/>
          <w:szCs w:val="26"/>
        </w:rPr>
      </w:pPr>
      <w:r>
        <w:rPr>
          <w:b/>
          <w:sz w:val="26"/>
          <w:szCs w:val="26"/>
        </w:rPr>
        <w:br w:type="column"/>
      </w:r>
      <w:r w:rsidR="006D69A4">
        <w:rPr>
          <w:b/>
          <w:sz w:val="26"/>
          <w:szCs w:val="26"/>
        </w:rPr>
        <w:t xml:space="preserve">Draft </w:t>
      </w:r>
      <w:r w:rsidR="00F70F47">
        <w:rPr>
          <w:b/>
          <w:sz w:val="26"/>
          <w:szCs w:val="26"/>
        </w:rPr>
        <w:t xml:space="preserve">2022 </w:t>
      </w:r>
      <w:r w:rsidRPr="00D11908">
        <w:rPr>
          <w:b/>
          <w:sz w:val="26"/>
          <w:szCs w:val="26"/>
        </w:rPr>
        <w:t>Interregional Transportation Improvement Program Hearing</w:t>
      </w:r>
    </w:p>
    <w:p w14:paraId="6BD3DE8C" w14:textId="7BF21176" w:rsidR="00D11908" w:rsidRDefault="00D11908" w:rsidP="00D11908">
      <w:pPr>
        <w:rPr>
          <w:b/>
          <w:bCs/>
          <w:sz w:val="26"/>
          <w:szCs w:val="26"/>
        </w:rPr>
      </w:pPr>
      <w:r w:rsidRPr="007A0873">
        <w:rPr>
          <w:b/>
          <w:bCs/>
          <w:sz w:val="26"/>
          <w:szCs w:val="26"/>
        </w:rPr>
        <w:t>Via GoToWebinar</w:t>
      </w:r>
    </w:p>
    <w:p w14:paraId="77E088EE" w14:textId="77777777" w:rsidR="00D11908" w:rsidRDefault="00D11908" w:rsidP="00D11908">
      <w:pPr>
        <w:rPr>
          <w:b/>
          <w:bCs/>
          <w:sz w:val="26"/>
          <w:szCs w:val="26"/>
        </w:rPr>
      </w:pPr>
    </w:p>
    <w:p w14:paraId="72546887" w14:textId="0712D0CA" w:rsidR="00D11908" w:rsidRPr="007A0873" w:rsidRDefault="00D11908" w:rsidP="00D11908">
      <w:pPr>
        <w:rPr>
          <w:b/>
          <w:bCs/>
          <w:sz w:val="26"/>
          <w:szCs w:val="26"/>
        </w:rPr>
        <w:sectPr w:rsidR="00D11908" w:rsidRPr="007A0873" w:rsidSect="005D4479">
          <w:type w:val="continuous"/>
          <w:pgSz w:w="12240" w:h="15840"/>
          <w:pgMar w:top="720" w:right="720" w:bottom="720" w:left="720" w:header="720" w:footer="720" w:gutter="0"/>
          <w:cols w:num="2" w:space="720" w:equalWidth="0">
            <w:col w:w="4320" w:space="720"/>
            <w:col w:w="5760"/>
          </w:cols>
          <w:titlePg/>
          <w:docGrid w:linePitch="360"/>
        </w:sectPr>
      </w:pPr>
    </w:p>
    <w:p w14:paraId="3012D38D" w14:textId="1F835993" w:rsidR="00D11908" w:rsidRPr="00C332E8" w:rsidRDefault="00D11908" w:rsidP="00D11908">
      <w:pPr>
        <w:jc w:val="center"/>
      </w:pPr>
      <w:bookmarkStart w:id="2" w:name="_Hlk78543984"/>
      <w:r w:rsidRPr="00DB3B2F">
        <w:rPr>
          <w:b/>
        </w:rPr>
        <w:t>To participate</w:t>
      </w:r>
      <w:r>
        <w:rPr>
          <w:b/>
        </w:rPr>
        <w:t xml:space="preserve"> </w:t>
      </w:r>
      <w:r w:rsidRPr="00DB3B2F">
        <w:rPr>
          <w:b/>
        </w:rPr>
        <w:t>on the meeting via computer</w:t>
      </w:r>
      <w:r>
        <w:rPr>
          <w:b/>
        </w:rPr>
        <w:t>:</w:t>
      </w:r>
    </w:p>
    <w:p w14:paraId="5D4A926F" w14:textId="3787E63C" w:rsidR="00D11908" w:rsidRDefault="00D11908" w:rsidP="00D11908">
      <w:pPr>
        <w:jc w:val="center"/>
      </w:pPr>
      <w:r w:rsidRPr="00C332E8">
        <w:t xml:space="preserve"> Please visit</w:t>
      </w:r>
      <w:r w:rsidRPr="00F678F2">
        <w:t>:</w:t>
      </w:r>
      <w:r>
        <w:t xml:space="preserve"> </w:t>
      </w:r>
      <w:hyperlink r:id="rId10" w:history="1">
        <w:r w:rsidR="002C7C5B" w:rsidRPr="00CA051D">
          <w:rPr>
            <w:rStyle w:val="Hyperlink"/>
          </w:rPr>
          <w:t>https://attendee.gotowebinar.com/register/3578125715581173007</w:t>
        </w:r>
      </w:hyperlink>
      <w:r w:rsidR="002C7C5B">
        <w:t xml:space="preserve"> </w:t>
      </w:r>
    </w:p>
    <w:p w14:paraId="10E0A573" w14:textId="77777777" w:rsidR="00D11908" w:rsidRPr="00F678F2" w:rsidRDefault="00D11908" w:rsidP="00D11908">
      <w:pPr>
        <w:jc w:val="center"/>
        <w:rPr>
          <w:highlight w:val="yellow"/>
        </w:rPr>
      </w:pPr>
      <w:r w:rsidRPr="008060C0">
        <w:t>There, you will be provided dial in information, instructions for participation, an access code, and audio pin to join the meeting.</w:t>
      </w:r>
    </w:p>
    <w:p w14:paraId="1537E4FA" w14:textId="77777777" w:rsidR="00D11908" w:rsidRPr="008060C0" w:rsidRDefault="00D11908" w:rsidP="00D11908">
      <w:pPr>
        <w:jc w:val="center"/>
      </w:pPr>
      <w:r w:rsidRPr="008060C0">
        <w:t xml:space="preserve">If you wish to only listen to </w:t>
      </w:r>
      <w:r>
        <w:t xml:space="preserve">day 1 of </w:t>
      </w:r>
      <w:r w:rsidRPr="008060C0">
        <w:t>the meeting:</w:t>
      </w:r>
    </w:p>
    <w:p w14:paraId="1C580724" w14:textId="6827594D" w:rsidR="00D11908" w:rsidRDefault="00D11908" w:rsidP="00D11908">
      <w:pPr>
        <w:spacing w:after="240"/>
        <w:jc w:val="center"/>
      </w:pPr>
      <w:r w:rsidRPr="008060C0">
        <w:t>Phone Number</w:t>
      </w:r>
      <w:r w:rsidRPr="00830F24">
        <w:t xml:space="preserve">: </w:t>
      </w:r>
      <w:r w:rsidR="00AE45B1" w:rsidRPr="00AE45B1">
        <w:t>(</w:t>
      </w:r>
      <w:r w:rsidR="002C7C5B" w:rsidRPr="002C7C5B">
        <w:t>631) 992-3221</w:t>
      </w:r>
      <w:r w:rsidRPr="00830F24">
        <w:t xml:space="preserve">, Access Code: </w:t>
      </w:r>
      <w:r w:rsidR="002C7C5B" w:rsidRPr="002C7C5B">
        <w:t>657-323-772</w:t>
      </w:r>
    </w:p>
    <w:p w14:paraId="69657212" w14:textId="2C826883" w:rsidR="00D11908" w:rsidRDefault="00D11908" w:rsidP="00D11908">
      <w:pPr>
        <w:spacing w:after="240"/>
        <w:jc w:val="center"/>
      </w:pPr>
      <w:r w:rsidRPr="00B002D4">
        <w:t xml:space="preserve">Live closed captioning will be provided in the webinar for this meeting. The link to view the live captions will be found on the Commission meetings page of our website </w:t>
      </w:r>
      <w:hyperlink r:id="rId11" w:history="1">
        <w:r w:rsidRPr="00B002D4">
          <w:rPr>
            <w:rStyle w:val="Hyperlink"/>
          </w:rPr>
          <w:t>www.catc.ca.gov</w:t>
        </w:r>
      </w:hyperlink>
      <w:r w:rsidRPr="00B002D4">
        <w:t>.</w:t>
      </w:r>
    </w:p>
    <w:p w14:paraId="69245A9D" w14:textId="34A94C4D" w:rsidR="00D11908" w:rsidRPr="0042332E" w:rsidRDefault="00D11908" w:rsidP="00D11908">
      <w:pPr>
        <w:spacing w:after="120"/>
        <w:jc w:val="both"/>
        <w:rPr>
          <w:szCs w:val="20"/>
        </w:rPr>
      </w:pPr>
      <w:r w:rsidRPr="009F4509">
        <w:rPr>
          <w:b/>
        </w:rPr>
        <w:t>NOTICE:</w:t>
      </w:r>
      <w:r w:rsidRPr="00100BE4">
        <w:t xml:space="preserve"> </w:t>
      </w:r>
      <w:r w:rsidRPr="006A75A7">
        <w:rPr>
          <w:szCs w:val="20"/>
        </w:rPr>
        <w:t>Times identified agenda are estimates only. The Commission has the discretion to take up agenda items out of sequence</w:t>
      </w:r>
      <w:r w:rsidR="009D0CF3">
        <w:rPr>
          <w:szCs w:val="20"/>
        </w:rPr>
        <w:t>.</w:t>
      </w:r>
    </w:p>
    <w:p w14:paraId="32B53006" w14:textId="452D39EE" w:rsidR="00D11908" w:rsidRPr="00B225A8" w:rsidRDefault="00D11908" w:rsidP="00D11908">
      <w:pPr>
        <w:spacing w:after="120"/>
        <w:jc w:val="both"/>
        <w:rPr>
          <w:szCs w:val="20"/>
          <w:lang w:val="es-ES"/>
        </w:rPr>
      </w:pPr>
      <w:r w:rsidRPr="0042332E">
        <w:rPr>
          <w:szCs w:val="20"/>
        </w:rPr>
        <w:t xml:space="preserve">Unless otherwise noticed in the specified book item, a copy of this meeting notice, agenda, and related book items will be posted 10 calendar days prior to the meeting on the California Transportation Commission (Commission) Website: </w:t>
      </w:r>
      <w:hyperlink r:id="rId12" w:history="1">
        <w:r w:rsidRPr="00877319">
          <w:rPr>
            <w:rStyle w:val="Hyperlink"/>
            <w:szCs w:val="20"/>
          </w:rPr>
          <w:t>www.catc.ca.gov</w:t>
        </w:r>
      </w:hyperlink>
      <w:r>
        <w:rPr>
          <w:szCs w:val="20"/>
        </w:rPr>
        <w:t>.</w:t>
      </w:r>
      <w:r w:rsidRPr="0042332E">
        <w:rPr>
          <w:szCs w:val="20"/>
        </w:rPr>
        <w:t xml:space="preserve"> Questions or inquiries about this </w:t>
      </w:r>
      <w:r w:rsidR="009D0CF3">
        <w:rPr>
          <w:szCs w:val="20"/>
        </w:rPr>
        <w:t>hear</w:t>
      </w:r>
      <w:r w:rsidRPr="0042332E">
        <w:rPr>
          <w:szCs w:val="20"/>
        </w:rPr>
        <w:t xml:space="preserve">ing may be directed to the Commission staff at (916) 654-4245, 1120 N Street (MS-52), Sacramento, CA  95814.  </w:t>
      </w:r>
      <w:bookmarkStart w:id="3" w:name="_Hlk56686041"/>
      <w:r w:rsidRPr="00B55C6C">
        <w:rPr>
          <w:szCs w:val="20"/>
        </w:rPr>
        <w:t>The Commission will provide assistive services including translation and interpretation in multiple languages, real-time captioning, transcription, large print, digital audio and/or video recordings, as well as Commission meeting materials in an accessible format for the visually impaired. To obtain services or copies in one of these alternate formats or language, please contact us at (916) 654-4245 or </w:t>
      </w:r>
      <w:hyperlink r:id="rId13" w:history="1">
        <w:r w:rsidRPr="00B55C6C">
          <w:rPr>
            <w:rStyle w:val="Hyperlink"/>
            <w:szCs w:val="20"/>
          </w:rPr>
          <w:t>ctc@catc.ca.gov</w:t>
        </w:r>
      </w:hyperlink>
      <w:r w:rsidRPr="00B55C6C">
        <w:rPr>
          <w:szCs w:val="20"/>
        </w:rPr>
        <w:t>. Arrangements should be made as soon as possible but no later than at least five working days prior to the scheduled meeting.”</w:t>
      </w:r>
      <w:r w:rsidRPr="00B55C6C">
        <w:rPr>
          <w:i/>
          <w:iCs/>
          <w:szCs w:val="20"/>
        </w:rPr>
        <w:t xml:space="preserve"> </w:t>
      </w:r>
      <w:r w:rsidRPr="00B225A8">
        <w:rPr>
          <w:i/>
          <w:iCs/>
          <w:szCs w:val="20"/>
        </w:rPr>
        <w:t>(</w:t>
      </w:r>
      <w:r w:rsidRPr="00B225A8">
        <w:rPr>
          <w:i/>
          <w:iCs/>
          <w:szCs w:val="20"/>
          <w:lang w:val="es-ES"/>
        </w:rPr>
        <w:t>Las solicitudes de acomodación especial o servicios de interpretación deben hacerse tan pronto como sea posible o por lo menos cinco días antes de la reunión programada)</w:t>
      </w:r>
      <w:bookmarkEnd w:id="3"/>
    </w:p>
    <w:p w14:paraId="6C001ABD" w14:textId="77777777" w:rsidR="00D11908" w:rsidRPr="0042332E" w:rsidRDefault="00D11908" w:rsidP="00D11908">
      <w:pPr>
        <w:spacing w:after="120"/>
        <w:jc w:val="both"/>
        <w:rPr>
          <w:szCs w:val="20"/>
        </w:rPr>
      </w:pPr>
      <w:r w:rsidRPr="0042332E">
        <w:rPr>
          <w:szCs w:val="20"/>
        </w:rPr>
        <w:t>Improper comments and disorderly conduct are not permitted. In the event that the meeting conducted by the Commission is willfully interrupted or disrupted by a person or by a group so as to render the orderly conduct of the meeting infeasible, the Chair may order the removal of those individuals who are willfully disrupting the meeting.</w:t>
      </w:r>
    </w:p>
    <w:bookmarkEnd w:id="2"/>
    <w:p w14:paraId="2B85B0AE" w14:textId="77777777" w:rsidR="009D0CF3" w:rsidRPr="00C332E8" w:rsidRDefault="009D0CF3" w:rsidP="009D0CF3">
      <w:pPr>
        <w:spacing w:after="240"/>
        <w:ind w:right="-90"/>
        <w:jc w:val="center"/>
        <w:rPr>
          <w:b/>
          <w:bCs/>
        </w:rPr>
      </w:pPr>
      <w:r w:rsidRPr="0042332E">
        <w:rPr>
          <w:szCs w:val="20"/>
        </w:rPr>
        <w:t>“I” denotes an “Information” item; “C” denotes a “Commission” item; “D” denotes a “Department” item.</w:t>
      </w:r>
    </w:p>
    <w:p w14:paraId="69405825" w14:textId="77777777" w:rsidR="009D0CF3" w:rsidRDefault="009D0CF3">
      <w:pPr>
        <w:rPr>
          <w:b/>
          <w:sz w:val="28"/>
          <w:szCs w:val="28"/>
          <w:u w:val="single"/>
        </w:rPr>
      </w:pPr>
      <w:r>
        <w:br w:type="page"/>
      </w:r>
    </w:p>
    <w:p w14:paraId="4550B7FF" w14:textId="77777777" w:rsidR="007F5837" w:rsidRPr="00D548C0" w:rsidRDefault="007F5837" w:rsidP="00297195">
      <w:pPr>
        <w:pStyle w:val="Heading3"/>
        <w:spacing w:before="0"/>
      </w:pPr>
      <w:r w:rsidRPr="00D548C0">
        <w:lastRenderedPageBreak/>
        <w:t>GENERAL BUSINESS</w:t>
      </w:r>
    </w:p>
    <w:tbl>
      <w:tblPr>
        <w:tblStyle w:val="TableGrid"/>
        <w:tblW w:w="10794" w:type="dxa"/>
        <w:tblLayout w:type="fixed"/>
        <w:tblCellMar>
          <w:left w:w="115" w:type="dxa"/>
          <w:right w:w="115" w:type="dxa"/>
        </w:tblCellMar>
        <w:tblLook w:val="04A0" w:firstRow="1" w:lastRow="0" w:firstColumn="1" w:lastColumn="0" w:noHBand="0" w:noVBand="1"/>
        <w:tblDescription w:val="Estimated timed agenda General Business table "/>
      </w:tblPr>
      <w:tblGrid>
        <w:gridCol w:w="625"/>
        <w:gridCol w:w="5111"/>
        <w:gridCol w:w="13"/>
        <w:gridCol w:w="724"/>
        <w:gridCol w:w="2248"/>
        <w:gridCol w:w="888"/>
        <w:gridCol w:w="16"/>
        <w:gridCol w:w="1169"/>
      </w:tblGrid>
      <w:tr w:rsidR="00D548C0" w:rsidRPr="004760F2" w14:paraId="699AEECE" w14:textId="77777777" w:rsidTr="00297195">
        <w:trPr>
          <w:tblHeader/>
        </w:trPr>
        <w:tc>
          <w:tcPr>
            <w:tcW w:w="625" w:type="dxa"/>
            <w:shd w:val="clear" w:color="auto" w:fill="F2F2F2" w:themeFill="background1" w:themeFillShade="F2"/>
          </w:tcPr>
          <w:p w14:paraId="44AF99F0" w14:textId="77777777" w:rsidR="00D548C0" w:rsidRPr="004760F2" w:rsidRDefault="00D548C0" w:rsidP="007F5837">
            <w:pPr>
              <w:rPr>
                <w:b/>
                <w:sz w:val="20"/>
                <w:szCs w:val="20"/>
              </w:rPr>
            </w:pPr>
            <w:r w:rsidRPr="004760F2">
              <w:rPr>
                <w:b/>
                <w:sz w:val="20"/>
                <w:szCs w:val="20"/>
              </w:rPr>
              <w:t>Tab</w:t>
            </w:r>
          </w:p>
        </w:tc>
        <w:tc>
          <w:tcPr>
            <w:tcW w:w="5111" w:type="dxa"/>
            <w:shd w:val="clear" w:color="auto" w:fill="F2F2F2" w:themeFill="background1" w:themeFillShade="F2"/>
          </w:tcPr>
          <w:p w14:paraId="1FB16009" w14:textId="77777777" w:rsidR="00D548C0" w:rsidRPr="004760F2" w:rsidRDefault="00D548C0" w:rsidP="007F5837">
            <w:pPr>
              <w:rPr>
                <w:b/>
                <w:sz w:val="20"/>
                <w:szCs w:val="20"/>
              </w:rPr>
            </w:pPr>
            <w:r w:rsidRPr="004760F2">
              <w:rPr>
                <w:b/>
                <w:sz w:val="20"/>
                <w:szCs w:val="20"/>
              </w:rPr>
              <w:t>Item Description</w:t>
            </w:r>
          </w:p>
        </w:tc>
        <w:tc>
          <w:tcPr>
            <w:tcW w:w="737" w:type="dxa"/>
            <w:gridSpan w:val="2"/>
            <w:shd w:val="clear" w:color="auto" w:fill="F2F2F2" w:themeFill="background1" w:themeFillShade="F2"/>
          </w:tcPr>
          <w:p w14:paraId="72BDF68F" w14:textId="77777777" w:rsidR="00D548C0" w:rsidRPr="004760F2" w:rsidRDefault="00D548C0" w:rsidP="007F5837">
            <w:pPr>
              <w:rPr>
                <w:b/>
                <w:sz w:val="20"/>
                <w:szCs w:val="20"/>
              </w:rPr>
            </w:pPr>
            <w:r w:rsidRPr="004760F2">
              <w:rPr>
                <w:b/>
                <w:sz w:val="20"/>
                <w:szCs w:val="20"/>
              </w:rPr>
              <w:t>Ref#</w:t>
            </w:r>
          </w:p>
        </w:tc>
        <w:tc>
          <w:tcPr>
            <w:tcW w:w="2248" w:type="dxa"/>
            <w:shd w:val="clear" w:color="auto" w:fill="F2F2F2" w:themeFill="background1" w:themeFillShade="F2"/>
          </w:tcPr>
          <w:p w14:paraId="7CA8BC1D" w14:textId="77777777" w:rsidR="00D548C0" w:rsidRPr="004760F2" w:rsidRDefault="00D548C0" w:rsidP="007F5837">
            <w:pPr>
              <w:rPr>
                <w:b/>
                <w:sz w:val="20"/>
                <w:szCs w:val="20"/>
              </w:rPr>
            </w:pPr>
            <w:r w:rsidRPr="004760F2">
              <w:rPr>
                <w:b/>
                <w:sz w:val="20"/>
                <w:szCs w:val="20"/>
              </w:rPr>
              <w:t>Presenter</w:t>
            </w:r>
          </w:p>
        </w:tc>
        <w:tc>
          <w:tcPr>
            <w:tcW w:w="888" w:type="dxa"/>
            <w:shd w:val="clear" w:color="auto" w:fill="F2F2F2" w:themeFill="background1" w:themeFillShade="F2"/>
          </w:tcPr>
          <w:p w14:paraId="7045A196" w14:textId="77777777" w:rsidR="00D548C0" w:rsidRPr="004760F2" w:rsidRDefault="00FD50CE" w:rsidP="007F5837">
            <w:pPr>
              <w:rPr>
                <w:b/>
                <w:sz w:val="20"/>
                <w:szCs w:val="20"/>
              </w:rPr>
            </w:pPr>
            <w:r w:rsidRPr="004760F2">
              <w:rPr>
                <w:b/>
                <w:sz w:val="20"/>
                <w:szCs w:val="20"/>
              </w:rPr>
              <w:t>Type</w:t>
            </w:r>
            <w:r w:rsidR="00D304D2" w:rsidRPr="004760F2">
              <w:rPr>
                <w:b/>
                <w:sz w:val="20"/>
                <w:szCs w:val="20"/>
              </w:rPr>
              <w:t>*</w:t>
            </w:r>
          </w:p>
        </w:tc>
        <w:tc>
          <w:tcPr>
            <w:tcW w:w="1185" w:type="dxa"/>
            <w:gridSpan w:val="2"/>
            <w:shd w:val="clear" w:color="auto" w:fill="F2F2F2" w:themeFill="background1" w:themeFillShade="F2"/>
          </w:tcPr>
          <w:p w14:paraId="3A54FDD7" w14:textId="77777777" w:rsidR="00D548C0" w:rsidRPr="004760F2" w:rsidRDefault="00FD50CE" w:rsidP="007F5837">
            <w:pPr>
              <w:rPr>
                <w:b/>
                <w:sz w:val="20"/>
                <w:szCs w:val="20"/>
              </w:rPr>
            </w:pPr>
            <w:r w:rsidRPr="004760F2">
              <w:rPr>
                <w:b/>
                <w:sz w:val="20"/>
                <w:szCs w:val="20"/>
              </w:rPr>
              <w:t>Agency*</w:t>
            </w:r>
          </w:p>
        </w:tc>
      </w:tr>
      <w:tr w:rsidR="00F3742F" w:rsidRPr="004760F2" w14:paraId="05FD9E48" w14:textId="77777777" w:rsidTr="00AE45B1">
        <w:trPr>
          <w:trHeight w:val="503"/>
        </w:trPr>
        <w:tc>
          <w:tcPr>
            <w:tcW w:w="625" w:type="dxa"/>
          </w:tcPr>
          <w:p w14:paraId="77C83C89" w14:textId="77777777" w:rsidR="00F3742F" w:rsidRPr="00F3742F" w:rsidRDefault="00F3742F" w:rsidP="00AE45B1">
            <w:pPr>
              <w:tabs>
                <w:tab w:val="left" w:pos="547"/>
                <w:tab w:val="left" w:pos="1267"/>
                <w:tab w:val="left" w:pos="1987"/>
                <w:tab w:val="left" w:pos="2880"/>
                <w:tab w:val="left" w:pos="3600"/>
                <w:tab w:val="left" w:pos="9540"/>
                <w:tab w:val="left" w:pos="10080"/>
              </w:tabs>
              <w:jc w:val="center"/>
              <w:rPr>
                <w:sz w:val="20"/>
              </w:rPr>
            </w:pPr>
            <w:r w:rsidRPr="00F3742F">
              <w:rPr>
                <w:sz w:val="20"/>
              </w:rPr>
              <w:t>1</w:t>
            </w:r>
          </w:p>
        </w:tc>
        <w:tc>
          <w:tcPr>
            <w:tcW w:w="5111" w:type="dxa"/>
          </w:tcPr>
          <w:p w14:paraId="57C73C98" w14:textId="77777777" w:rsidR="00F3742F" w:rsidRPr="00F3742F" w:rsidRDefault="00F3742F" w:rsidP="00F3742F">
            <w:pPr>
              <w:tabs>
                <w:tab w:val="left" w:pos="547"/>
                <w:tab w:val="left" w:pos="1267"/>
                <w:tab w:val="left" w:pos="1987"/>
                <w:tab w:val="left" w:pos="2880"/>
                <w:tab w:val="left" w:pos="3600"/>
                <w:tab w:val="left" w:pos="9540"/>
                <w:tab w:val="left" w:pos="10080"/>
              </w:tabs>
              <w:rPr>
                <w:sz w:val="20"/>
              </w:rPr>
            </w:pPr>
            <w:r w:rsidRPr="00F3742F">
              <w:rPr>
                <w:sz w:val="20"/>
              </w:rPr>
              <w:t xml:space="preserve">Opening Remarks </w:t>
            </w:r>
          </w:p>
        </w:tc>
        <w:tc>
          <w:tcPr>
            <w:tcW w:w="737" w:type="dxa"/>
            <w:gridSpan w:val="2"/>
          </w:tcPr>
          <w:p w14:paraId="116C718E" w14:textId="77777777" w:rsidR="00F3742F" w:rsidRPr="00F3742F" w:rsidRDefault="00F3742F" w:rsidP="00CA5E40">
            <w:pPr>
              <w:tabs>
                <w:tab w:val="left" w:pos="547"/>
                <w:tab w:val="left" w:pos="1267"/>
                <w:tab w:val="left" w:pos="1987"/>
                <w:tab w:val="left" w:pos="2880"/>
                <w:tab w:val="left" w:pos="3600"/>
                <w:tab w:val="left" w:pos="9540"/>
                <w:tab w:val="left" w:pos="10080"/>
              </w:tabs>
              <w:jc w:val="center"/>
              <w:rPr>
                <w:sz w:val="20"/>
              </w:rPr>
            </w:pPr>
            <w:r w:rsidRPr="00F3742F">
              <w:rPr>
                <w:sz w:val="20"/>
              </w:rPr>
              <w:t>1.1</w:t>
            </w:r>
          </w:p>
        </w:tc>
        <w:tc>
          <w:tcPr>
            <w:tcW w:w="2248" w:type="dxa"/>
          </w:tcPr>
          <w:p w14:paraId="084D225D" w14:textId="67A968CD" w:rsidR="001E121F" w:rsidRDefault="00BE1B5F" w:rsidP="00F3742F">
            <w:pPr>
              <w:tabs>
                <w:tab w:val="left" w:pos="547"/>
                <w:tab w:val="left" w:pos="1267"/>
                <w:tab w:val="left" w:pos="1987"/>
                <w:tab w:val="left" w:pos="2880"/>
                <w:tab w:val="left" w:pos="3600"/>
                <w:tab w:val="left" w:pos="9540"/>
                <w:tab w:val="left" w:pos="10080"/>
              </w:tabs>
              <w:rPr>
                <w:sz w:val="20"/>
              </w:rPr>
            </w:pPr>
            <w:r>
              <w:rPr>
                <w:sz w:val="20"/>
              </w:rPr>
              <w:t>Hillary Norton</w:t>
            </w:r>
          </w:p>
          <w:p w14:paraId="122C1218" w14:textId="1F71F4FA" w:rsidR="00F3742F" w:rsidRPr="00F3742F" w:rsidRDefault="00BE1B5F" w:rsidP="00F3742F">
            <w:pPr>
              <w:tabs>
                <w:tab w:val="left" w:pos="547"/>
                <w:tab w:val="left" w:pos="1267"/>
                <w:tab w:val="left" w:pos="1987"/>
                <w:tab w:val="left" w:pos="2880"/>
                <w:tab w:val="left" w:pos="3600"/>
                <w:tab w:val="left" w:pos="9540"/>
                <w:tab w:val="left" w:pos="10080"/>
              </w:tabs>
              <w:rPr>
                <w:sz w:val="20"/>
              </w:rPr>
            </w:pPr>
            <w:r>
              <w:rPr>
                <w:sz w:val="20"/>
              </w:rPr>
              <w:t>Mitch Weiss</w:t>
            </w:r>
          </w:p>
        </w:tc>
        <w:tc>
          <w:tcPr>
            <w:tcW w:w="888" w:type="dxa"/>
          </w:tcPr>
          <w:p w14:paraId="3FBEE10F" w14:textId="77777777" w:rsidR="00F3742F" w:rsidRPr="00F3742F" w:rsidRDefault="00F3742F" w:rsidP="00F3742F">
            <w:pPr>
              <w:pStyle w:val="Header"/>
              <w:tabs>
                <w:tab w:val="left" w:pos="510"/>
                <w:tab w:val="left" w:pos="1267"/>
              </w:tabs>
              <w:jc w:val="center"/>
              <w:rPr>
                <w:sz w:val="20"/>
              </w:rPr>
            </w:pPr>
            <w:r w:rsidRPr="00F3742F">
              <w:rPr>
                <w:sz w:val="20"/>
              </w:rPr>
              <w:t>I</w:t>
            </w:r>
          </w:p>
        </w:tc>
        <w:tc>
          <w:tcPr>
            <w:tcW w:w="1185" w:type="dxa"/>
            <w:gridSpan w:val="2"/>
          </w:tcPr>
          <w:p w14:paraId="18CCDB16" w14:textId="77777777" w:rsidR="00F3742F" w:rsidRPr="00F3742F" w:rsidRDefault="00F3742F" w:rsidP="00F3742F">
            <w:pPr>
              <w:tabs>
                <w:tab w:val="left" w:pos="510"/>
                <w:tab w:val="left" w:pos="1267"/>
              </w:tabs>
              <w:jc w:val="center"/>
              <w:rPr>
                <w:sz w:val="20"/>
              </w:rPr>
            </w:pPr>
            <w:r w:rsidRPr="00F3742F">
              <w:rPr>
                <w:sz w:val="20"/>
              </w:rPr>
              <w:t>C</w:t>
            </w:r>
          </w:p>
        </w:tc>
      </w:tr>
      <w:tr w:rsidR="00F3742F" w:rsidRPr="004760F2" w14:paraId="689F6C06" w14:textId="77777777" w:rsidTr="00AE45B1">
        <w:trPr>
          <w:trHeight w:val="530"/>
        </w:trPr>
        <w:tc>
          <w:tcPr>
            <w:tcW w:w="625" w:type="dxa"/>
          </w:tcPr>
          <w:p w14:paraId="6DADE7FA" w14:textId="77777777" w:rsidR="00F3742F" w:rsidRPr="00F3742F" w:rsidRDefault="00F3742F" w:rsidP="00AE45B1">
            <w:pPr>
              <w:tabs>
                <w:tab w:val="left" w:pos="547"/>
                <w:tab w:val="left" w:pos="1267"/>
                <w:tab w:val="left" w:pos="1987"/>
                <w:tab w:val="left" w:pos="2880"/>
                <w:tab w:val="left" w:pos="3600"/>
                <w:tab w:val="left" w:pos="9540"/>
                <w:tab w:val="left" w:pos="10080"/>
              </w:tabs>
              <w:jc w:val="center"/>
              <w:rPr>
                <w:sz w:val="20"/>
              </w:rPr>
            </w:pPr>
            <w:r w:rsidRPr="00F3742F">
              <w:rPr>
                <w:sz w:val="20"/>
              </w:rPr>
              <w:t>2</w:t>
            </w:r>
          </w:p>
        </w:tc>
        <w:tc>
          <w:tcPr>
            <w:tcW w:w="5111" w:type="dxa"/>
          </w:tcPr>
          <w:p w14:paraId="43A94806" w14:textId="47468EA4" w:rsidR="00F3742F" w:rsidRPr="00F3742F" w:rsidRDefault="00F3742F" w:rsidP="00F3742F">
            <w:pPr>
              <w:pStyle w:val="Header"/>
              <w:tabs>
                <w:tab w:val="left" w:pos="547"/>
                <w:tab w:val="left" w:pos="1267"/>
                <w:tab w:val="left" w:pos="1987"/>
                <w:tab w:val="left" w:pos="2880"/>
                <w:tab w:val="left" w:pos="3600"/>
                <w:tab w:val="left" w:pos="9540"/>
                <w:tab w:val="left" w:pos="10080"/>
              </w:tabs>
              <w:rPr>
                <w:sz w:val="20"/>
              </w:rPr>
            </w:pPr>
            <w:r w:rsidRPr="00F3742F">
              <w:rPr>
                <w:sz w:val="20"/>
              </w:rPr>
              <w:t xml:space="preserve">Overview </w:t>
            </w:r>
            <w:r w:rsidR="00BE1B5F">
              <w:rPr>
                <w:sz w:val="20"/>
              </w:rPr>
              <w:t xml:space="preserve">and Purpose </w:t>
            </w:r>
            <w:r w:rsidRPr="00F3742F">
              <w:rPr>
                <w:sz w:val="20"/>
              </w:rPr>
              <w:t xml:space="preserve">of the </w:t>
            </w:r>
            <w:r w:rsidR="00297195" w:rsidRPr="00297195">
              <w:rPr>
                <w:sz w:val="20"/>
              </w:rPr>
              <w:t>Draft 202</w:t>
            </w:r>
            <w:r w:rsidR="00BE1B5F">
              <w:rPr>
                <w:sz w:val="20"/>
              </w:rPr>
              <w:t>2</w:t>
            </w:r>
            <w:r w:rsidR="00297195" w:rsidRPr="00297195">
              <w:rPr>
                <w:sz w:val="20"/>
              </w:rPr>
              <w:t xml:space="preserve"> Interregional Transportation Improvement Program</w:t>
            </w:r>
            <w:r w:rsidR="00BE1B5F">
              <w:rPr>
                <w:sz w:val="20"/>
              </w:rPr>
              <w:t xml:space="preserve"> Hearing</w:t>
            </w:r>
          </w:p>
        </w:tc>
        <w:tc>
          <w:tcPr>
            <w:tcW w:w="737" w:type="dxa"/>
            <w:gridSpan w:val="2"/>
          </w:tcPr>
          <w:p w14:paraId="503CDEBA" w14:textId="77777777" w:rsidR="00F3742F" w:rsidRPr="00F3742F" w:rsidRDefault="00F3742F" w:rsidP="00CA5E40">
            <w:pPr>
              <w:tabs>
                <w:tab w:val="left" w:pos="547"/>
                <w:tab w:val="left" w:pos="1267"/>
                <w:tab w:val="left" w:pos="1987"/>
                <w:tab w:val="left" w:pos="2880"/>
                <w:tab w:val="left" w:pos="3600"/>
                <w:tab w:val="left" w:pos="9540"/>
                <w:tab w:val="left" w:pos="10080"/>
              </w:tabs>
              <w:jc w:val="center"/>
              <w:rPr>
                <w:sz w:val="20"/>
              </w:rPr>
            </w:pPr>
            <w:r w:rsidRPr="00F3742F">
              <w:rPr>
                <w:sz w:val="20"/>
              </w:rPr>
              <w:t>1.2</w:t>
            </w:r>
          </w:p>
        </w:tc>
        <w:tc>
          <w:tcPr>
            <w:tcW w:w="2248" w:type="dxa"/>
          </w:tcPr>
          <w:p w14:paraId="4A396986" w14:textId="77777777" w:rsidR="00F3742F" w:rsidRPr="00F3742F" w:rsidRDefault="00F3742F" w:rsidP="00F3742F">
            <w:pPr>
              <w:tabs>
                <w:tab w:val="left" w:pos="547"/>
                <w:tab w:val="left" w:pos="1267"/>
                <w:tab w:val="left" w:pos="1987"/>
                <w:tab w:val="left" w:pos="2880"/>
                <w:tab w:val="left" w:pos="3600"/>
                <w:tab w:val="left" w:pos="9540"/>
                <w:tab w:val="left" w:pos="10080"/>
              </w:tabs>
              <w:rPr>
                <w:sz w:val="20"/>
              </w:rPr>
            </w:pPr>
            <w:r w:rsidRPr="00F3742F">
              <w:rPr>
                <w:sz w:val="20"/>
              </w:rPr>
              <w:t>Teresa Favila</w:t>
            </w:r>
          </w:p>
        </w:tc>
        <w:tc>
          <w:tcPr>
            <w:tcW w:w="888" w:type="dxa"/>
          </w:tcPr>
          <w:p w14:paraId="17921F5C" w14:textId="77777777" w:rsidR="00F3742F" w:rsidRPr="00F3742F" w:rsidRDefault="00F3742F" w:rsidP="00F3742F">
            <w:pPr>
              <w:tabs>
                <w:tab w:val="left" w:pos="510"/>
                <w:tab w:val="left" w:pos="1267"/>
              </w:tabs>
              <w:jc w:val="center"/>
              <w:rPr>
                <w:sz w:val="20"/>
              </w:rPr>
            </w:pPr>
            <w:r w:rsidRPr="00F3742F">
              <w:rPr>
                <w:sz w:val="20"/>
              </w:rPr>
              <w:t>I</w:t>
            </w:r>
          </w:p>
        </w:tc>
        <w:tc>
          <w:tcPr>
            <w:tcW w:w="1185" w:type="dxa"/>
            <w:gridSpan w:val="2"/>
          </w:tcPr>
          <w:p w14:paraId="5BC9D28E" w14:textId="77777777" w:rsidR="00F3742F" w:rsidRPr="00F3742F" w:rsidRDefault="00F3742F" w:rsidP="00F3742F">
            <w:pPr>
              <w:tabs>
                <w:tab w:val="left" w:pos="510"/>
                <w:tab w:val="left" w:pos="1267"/>
              </w:tabs>
              <w:jc w:val="center"/>
              <w:rPr>
                <w:sz w:val="20"/>
              </w:rPr>
            </w:pPr>
            <w:r w:rsidRPr="00F3742F">
              <w:rPr>
                <w:sz w:val="20"/>
              </w:rPr>
              <w:t>C</w:t>
            </w:r>
          </w:p>
        </w:tc>
      </w:tr>
      <w:tr w:rsidR="00CA5E40" w:rsidRPr="004760F2" w14:paraId="252807BC" w14:textId="77777777" w:rsidTr="00AE45B1">
        <w:trPr>
          <w:trHeight w:val="530"/>
        </w:trPr>
        <w:tc>
          <w:tcPr>
            <w:tcW w:w="625" w:type="dxa"/>
          </w:tcPr>
          <w:p w14:paraId="4700053C" w14:textId="77777777" w:rsidR="00CA5E40" w:rsidRPr="000929B1" w:rsidRDefault="00CA5E40" w:rsidP="00AE45B1">
            <w:pPr>
              <w:tabs>
                <w:tab w:val="left" w:pos="547"/>
                <w:tab w:val="left" w:pos="1267"/>
                <w:tab w:val="left" w:pos="1987"/>
                <w:tab w:val="left" w:pos="2880"/>
                <w:tab w:val="left" w:pos="3600"/>
                <w:tab w:val="left" w:pos="9540"/>
                <w:tab w:val="left" w:pos="10080"/>
              </w:tabs>
              <w:jc w:val="center"/>
              <w:rPr>
                <w:sz w:val="20"/>
              </w:rPr>
            </w:pPr>
            <w:r w:rsidRPr="000929B1">
              <w:rPr>
                <w:sz w:val="20"/>
              </w:rPr>
              <w:t>3</w:t>
            </w:r>
          </w:p>
        </w:tc>
        <w:tc>
          <w:tcPr>
            <w:tcW w:w="5124" w:type="dxa"/>
            <w:gridSpan w:val="2"/>
          </w:tcPr>
          <w:p w14:paraId="66D5AD94" w14:textId="29317C30" w:rsidR="00CA5E40" w:rsidRPr="000929B1" w:rsidRDefault="00CA5E40" w:rsidP="00CA5E40">
            <w:pPr>
              <w:tabs>
                <w:tab w:val="left" w:pos="510"/>
                <w:tab w:val="left" w:pos="1267"/>
              </w:tabs>
              <w:rPr>
                <w:sz w:val="20"/>
              </w:rPr>
            </w:pPr>
            <w:r w:rsidRPr="000929B1">
              <w:rPr>
                <w:sz w:val="20"/>
              </w:rPr>
              <w:t xml:space="preserve">Presentation of the </w:t>
            </w:r>
            <w:r w:rsidR="00297195" w:rsidRPr="00297195">
              <w:rPr>
                <w:sz w:val="20"/>
              </w:rPr>
              <w:t>Draft 202</w:t>
            </w:r>
            <w:r w:rsidR="00BE1B5F">
              <w:rPr>
                <w:sz w:val="20"/>
              </w:rPr>
              <w:t>2</w:t>
            </w:r>
            <w:r w:rsidR="00297195" w:rsidRPr="00297195">
              <w:rPr>
                <w:sz w:val="20"/>
              </w:rPr>
              <w:t xml:space="preserve"> Interregional Transportation Improvement Program</w:t>
            </w:r>
          </w:p>
        </w:tc>
        <w:tc>
          <w:tcPr>
            <w:tcW w:w="724" w:type="dxa"/>
          </w:tcPr>
          <w:p w14:paraId="2E70FE5A" w14:textId="77777777" w:rsidR="00CA5E40" w:rsidRPr="000929B1" w:rsidRDefault="00CA5E40" w:rsidP="00CA5E40">
            <w:pPr>
              <w:tabs>
                <w:tab w:val="left" w:pos="547"/>
                <w:tab w:val="left" w:pos="1267"/>
                <w:tab w:val="left" w:pos="1987"/>
                <w:tab w:val="left" w:pos="2880"/>
                <w:tab w:val="left" w:pos="3600"/>
                <w:tab w:val="left" w:pos="9540"/>
                <w:tab w:val="left" w:pos="10080"/>
              </w:tabs>
              <w:jc w:val="center"/>
              <w:rPr>
                <w:sz w:val="20"/>
              </w:rPr>
            </w:pPr>
            <w:r w:rsidRPr="000929B1">
              <w:rPr>
                <w:sz w:val="20"/>
              </w:rPr>
              <w:t>1.3</w:t>
            </w:r>
          </w:p>
        </w:tc>
        <w:tc>
          <w:tcPr>
            <w:tcW w:w="2248" w:type="dxa"/>
          </w:tcPr>
          <w:p w14:paraId="3FDA98A3" w14:textId="6AA9C941" w:rsidR="00CA5E40" w:rsidRPr="000929B1" w:rsidRDefault="00BE1B5F" w:rsidP="00CA5E40">
            <w:pPr>
              <w:tabs>
                <w:tab w:val="left" w:pos="547"/>
                <w:tab w:val="left" w:pos="1267"/>
                <w:tab w:val="left" w:pos="1987"/>
                <w:tab w:val="left" w:pos="2880"/>
                <w:tab w:val="left" w:pos="3600"/>
                <w:tab w:val="left" w:pos="9540"/>
                <w:tab w:val="left" w:pos="10080"/>
              </w:tabs>
              <w:rPr>
                <w:sz w:val="20"/>
              </w:rPr>
            </w:pPr>
            <w:r>
              <w:rPr>
                <w:sz w:val="20"/>
              </w:rPr>
              <w:t>James Anderson</w:t>
            </w:r>
          </w:p>
        </w:tc>
        <w:tc>
          <w:tcPr>
            <w:tcW w:w="904" w:type="dxa"/>
            <w:gridSpan w:val="2"/>
          </w:tcPr>
          <w:p w14:paraId="401E8C2B" w14:textId="77777777" w:rsidR="00CA5E40" w:rsidRPr="000929B1" w:rsidRDefault="00CA5E40" w:rsidP="00CA5E40">
            <w:pPr>
              <w:tabs>
                <w:tab w:val="left" w:pos="510"/>
                <w:tab w:val="left" w:pos="1267"/>
              </w:tabs>
              <w:jc w:val="center"/>
              <w:rPr>
                <w:sz w:val="20"/>
              </w:rPr>
            </w:pPr>
            <w:r w:rsidRPr="000929B1">
              <w:rPr>
                <w:sz w:val="20"/>
              </w:rPr>
              <w:t>I</w:t>
            </w:r>
          </w:p>
        </w:tc>
        <w:tc>
          <w:tcPr>
            <w:tcW w:w="1169" w:type="dxa"/>
          </w:tcPr>
          <w:p w14:paraId="6EF41720" w14:textId="77777777" w:rsidR="00CA5E40" w:rsidRPr="000929B1" w:rsidRDefault="00CA5E40" w:rsidP="00CA5E40">
            <w:pPr>
              <w:tabs>
                <w:tab w:val="left" w:pos="510"/>
                <w:tab w:val="left" w:pos="1267"/>
              </w:tabs>
              <w:jc w:val="center"/>
              <w:rPr>
                <w:sz w:val="20"/>
              </w:rPr>
            </w:pPr>
            <w:r w:rsidRPr="000929B1">
              <w:rPr>
                <w:sz w:val="20"/>
              </w:rPr>
              <w:t>D</w:t>
            </w:r>
          </w:p>
        </w:tc>
      </w:tr>
      <w:tr w:rsidR="00CA5E40" w:rsidRPr="004760F2" w14:paraId="7D19C5E8" w14:textId="77777777" w:rsidTr="00AE45B1">
        <w:trPr>
          <w:trHeight w:val="350"/>
        </w:trPr>
        <w:tc>
          <w:tcPr>
            <w:tcW w:w="625" w:type="dxa"/>
          </w:tcPr>
          <w:p w14:paraId="0BBD7A5C" w14:textId="77777777" w:rsidR="00CA5E40" w:rsidRPr="000929B1" w:rsidRDefault="00CA5E40" w:rsidP="00AE45B1">
            <w:pPr>
              <w:tabs>
                <w:tab w:val="left" w:pos="547"/>
                <w:tab w:val="left" w:pos="1267"/>
                <w:tab w:val="left" w:pos="1987"/>
                <w:tab w:val="left" w:pos="2880"/>
                <w:tab w:val="left" w:pos="3600"/>
                <w:tab w:val="left" w:pos="9540"/>
                <w:tab w:val="left" w:pos="10080"/>
              </w:tabs>
              <w:jc w:val="center"/>
              <w:rPr>
                <w:sz w:val="20"/>
              </w:rPr>
            </w:pPr>
            <w:r w:rsidRPr="000929B1">
              <w:rPr>
                <w:sz w:val="20"/>
              </w:rPr>
              <w:t>4</w:t>
            </w:r>
          </w:p>
        </w:tc>
        <w:tc>
          <w:tcPr>
            <w:tcW w:w="5124" w:type="dxa"/>
            <w:gridSpan w:val="2"/>
          </w:tcPr>
          <w:p w14:paraId="7F0BE4B3" w14:textId="77777777" w:rsidR="00CA5E40" w:rsidRPr="000929B1" w:rsidRDefault="00CA5E40" w:rsidP="00CA5E40">
            <w:pPr>
              <w:tabs>
                <w:tab w:val="left" w:pos="547"/>
                <w:tab w:val="left" w:pos="1267"/>
                <w:tab w:val="left" w:pos="1987"/>
                <w:tab w:val="left" w:pos="2880"/>
                <w:tab w:val="left" w:pos="3600"/>
                <w:tab w:val="left" w:pos="9540"/>
                <w:tab w:val="left" w:pos="10080"/>
              </w:tabs>
              <w:rPr>
                <w:sz w:val="20"/>
              </w:rPr>
            </w:pPr>
            <w:r w:rsidRPr="000929B1">
              <w:rPr>
                <w:sz w:val="20"/>
              </w:rPr>
              <w:t>Public Comment</w:t>
            </w:r>
          </w:p>
        </w:tc>
        <w:tc>
          <w:tcPr>
            <w:tcW w:w="724" w:type="dxa"/>
          </w:tcPr>
          <w:p w14:paraId="06519999" w14:textId="77777777" w:rsidR="00CA5E40" w:rsidRPr="000929B1" w:rsidRDefault="00CA5E40" w:rsidP="00CA5E40">
            <w:pPr>
              <w:tabs>
                <w:tab w:val="left" w:pos="547"/>
                <w:tab w:val="left" w:pos="1267"/>
                <w:tab w:val="left" w:pos="1987"/>
                <w:tab w:val="left" w:pos="2880"/>
                <w:tab w:val="left" w:pos="3600"/>
                <w:tab w:val="left" w:pos="9540"/>
                <w:tab w:val="left" w:pos="10080"/>
              </w:tabs>
              <w:jc w:val="center"/>
              <w:rPr>
                <w:sz w:val="20"/>
              </w:rPr>
            </w:pPr>
            <w:r w:rsidRPr="000929B1">
              <w:rPr>
                <w:sz w:val="20"/>
              </w:rPr>
              <w:t>1.4</w:t>
            </w:r>
          </w:p>
        </w:tc>
        <w:tc>
          <w:tcPr>
            <w:tcW w:w="2248" w:type="dxa"/>
          </w:tcPr>
          <w:p w14:paraId="037E2BB9" w14:textId="23210CDA" w:rsidR="00CA5E40" w:rsidRPr="000929B1" w:rsidRDefault="00BE1B5F" w:rsidP="00CA5E40">
            <w:pPr>
              <w:tabs>
                <w:tab w:val="left" w:pos="547"/>
                <w:tab w:val="left" w:pos="1267"/>
                <w:tab w:val="left" w:pos="1987"/>
                <w:tab w:val="left" w:pos="2880"/>
                <w:tab w:val="left" w:pos="3600"/>
                <w:tab w:val="left" w:pos="9540"/>
                <w:tab w:val="left" w:pos="10080"/>
              </w:tabs>
              <w:rPr>
                <w:sz w:val="20"/>
              </w:rPr>
            </w:pPr>
            <w:r>
              <w:rPr>
                <w:sz w:val="20"/>
              </w:rPr>
              <w:t>Hillary Norton</w:t>
            </w:r>
          </w:p>
        </w:tc>
        <w:tc>
          <w:tcPr>
            <w:tcW w:w="904" w:type="dxa"/>
            <w:gridSpan w:val="2"/>
          </w:tcPr>
          <w:p w14:paraId="1A6000F8" w14:textId="77777777" w:rsidR="00CA5E40" w:rsidRPr="000929B1" w:rsidRDefault="00CA5E40" w:rsidP="00CA5E40">
            <w:pPr>
              <w:tabs>
                <w:tab w:val="left" w:pos="510"/>
                <w:tab w:val="left" w:pos="1267"/>
              </w:tabs>
              <w:jc w:val="center"/>
              <w:rPr>
                <w:sz w:val="20"/>
              </w:rPr>
            </w:pPr>
            <w:r w:rsidRPr="000929B1">
              <w:rPr>
                <w:sz w:val="20"/>
              </w:rPr>
              <w:t>I</w:t>
            </w:r>
          </w:p>
        </w:tc>
        <w:tc>
          <w:tcPr>
            <w:tcW w:w="1169" w:type="dxa"/>
          </w:tcPr>
          <w:p w14:paraId="7011FCBD" w14:textId="77777777" w:rsidR="00CA5E40" w:rsidRPr="000929B1" w:rsidRDefault="00CA5E40" w:rsidP="00CA5E40">
            <w:pPr>
              <w:tabs>
                <w:tab w:val="left" w:pos="510"/>
                <w:tab w:val="left" w:pos="1267"/>
              </w:tabs>
              <w:jc w:val="center"/>
              <w:rPr>
                <w:sz w:val="20"/>
              </w:rPr>
            </w:pPr>
            <w:r w:rsidRPr="000929B1">
              <w:rPr>
                <w:sz w:val="20"/>
              </w:rPr>
              <w:t>C</w:t>
            </w:r>
          </w:p>
        </w:tc>
      </w:tr>
    </w:tbl>
    <w:p w14:paraId="60CA612C" w14:textId="77777777" w:rsidR="00FA069E" w:rsidRDefault="00FA069E" w:rsidP="003B0E4B">
      <w:pPr>
        <w:pStyle w:val="Heading3"/>
      </w:pPr>
      <w:r w:rsidRPr="00FA069E">
        <w:t>A</w:t>
      </w:r>
      <w:r w:rsidR="00CA5E40">
        <w:t>DJOURN</w:t>
      </w:r>
    </w:p>
    <w:p w14:paraId="4EFEB39E" w14:textId="583D35AD" w:rsidR="00FA069E" w:rsidRDefault="00FA069E" w:rsidP="00FA069E"/>
    <w:p w14:paraId="3F410D88" w14:textId="77777777" w:rsidR="00D11908" w:rsidRPr="005A33CE" w:rsidRDefault="00D11908" w:rsidP="00FA069E"/>
    <w:sectPr w:rsidR="00D11908" w:rsidRPr="005A33CE" w:rsidSect="00542F2B">
      <w:headerReference w:type="default" r:id="rId14"/>
      <w:footerReference w:type="default" r:id="rId1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1935D" w14:textId="77777777" w:rsidR="008003ED" w:rsidRDefault="008003ED" w:rsidP="00774369">
      <w:r>
        <w:separator/>
      </w:r>
    </w:p>
  </w:endnote>
  <w:endnote w:type="continuationSeparator" w:id="0">
    <w:p w14:paraId="23A3D93B" w14:textId="77777777" w:rsidR="008003ED" w:rsidRDefault="008003ED" w:rsidP="0077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0089195"/>
      <w:docPartObj>
        <w:docPartGallery w:val="Page Numbers (Bottom of Page)"/>
        <w:docPartUnique/>
      </w:docPartObj>
    </w:sdtPr>
    <w:sdtEndPr>
      <w:rPr>
        <w:noProof/>
      </w:rPr>
    </w:sdtEndPr>
    <w:sdtContent>
      <w:p w14:paraId="54C2F9F3" w14:textId="77777777" w:rsidR="00D11908" w:rsidRPr="00303A3B" w:rsidRDefault="00D11908" w:rsidP="00303A3B">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EA24B" w14:textId="77777777" w:rsidR="00D11908" w:rsidRDefault="00D11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6960605"/>
      <w:docPartObj>
        <w:docPartGallery w:val="Page Numbers (Bottom of Page)"/>
        <w:docPartUnique/>
      </w:docPartObj>
    </w:sdtPr>
    <w:sdtEndPr>
      <w:rPr>
        <w:noProof/>
      </w:rPr>
    </w:sdtEndPr>
    <w:sdtContent>
      <w:p w14:paraId="58535492" w14:textId="77777777" w:rsidR="006E705A" w:rsidRPr="00303A3B" w:rsidRDefault="00303A3B" w:rsidP="00303A3B">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D9E0D" w14:textId="77777777" w:rsidR="008003ED" w:rsidRDefault="008003ED" w:rsidP="00774369">
      <w:r>
        <w:separator/>
      </w:r>
    </w:p>
  </w:footnote>
  <w:footnote w:type="continuationSeparator" w:id="0">
    <w:p w14:paraId="28B88AB3" w14:textId="77777777" w:rsidR="008003ED" w:rsidRDefault="008003ED" w:rsidP="00774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AEEDE" w14:textId="77777777" w:rsidR="00D11908" w:rsidRPr="00DF0237" w:rsidRDefault="00D11908" w:rsidP="00DF0237">
    <w:pPr>
      <w:pStyle w:val="Header"/>
      <w:tabs>
        <w:tab w:val="clear" w:pos="4680"/>
        <w:tab w:val="clear" w:pos="9360"/>
        <w:tab w:val="center" w:pos="5400"/>
        <w:tab w:val="right" w:pos="10800"/>
      </w:tabs>
      <w:rPr>
        <w:b/>
        <w:u w:val="single"/>
      </w:rPr>
    </w:pPr>
    <w:r w:rsidRPr="00DF0237">
      <w:rPr>
        <w:b/>
        <w:u w:val="single"/>
      </w:rPr>
      <w:t xml:space="preserve">CTC MEETING </w:t>
    </w:r>
    <w:r w:rsidRPr="00DF0237">
      <w:rPr>
        <w:b/>
        <w:u w:val="single"/>
      </w:rPr>
      <w:tab/>
      <w:t>DRAFT - ESTIMATED TIMED AGENDA</w:t>
    </w:r>
    <w:r w:rsidRPr="00DF0237">
      <w:rPr>
        <w:b/>
        <w:u w:val="single"/>
      </w:rPr>
      <w:tab/>
    </w:r>
    <w:r w:rsidRPr="00BA37D2">
      <w:rPr>
        <w:b/>
        <w:u w:val="single"/>
      </w:rPr>
      <w:t>OCTOBER 13-14</w:t>
    </w:r>
    <w:r w:rsidRPr="00DF0237">
      <w:rPr>
        <w:b/>
        <w:u w:val="single"/>
      </w:rPr>
      <w:t>, 20</w:t>
    </w:r>
    <w:r>
      <w:rPr>
        <w:b/>
        <w:u w:val="single"/>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D5E68" w14:textId="5946CF22" w:rsidR="006E705A" w:rsidRPr="00DF0237" w:rsidRDefault="00297195" w:rsidP="00DF0237">
    <w:pPr>
      <w:pStyle w:val="Header"/>
      <w:tabs>
        <w:tab w:val="clear" w:pos="4680"/>
        <w:tab w:val="clear" w:pos="9360"/>
        <w:tab w:val="center" w:pos="5400"/>
        <w:tab w:val="right" w:pos="10800"/>
      </w:tabs>
      <w:rPr>
        <w:b/>
        <w:u w:val="single"/>
      </w:rPr>
    </w:pPr>
    <w:r>
      <w:rPr>
        <w:b/>
        <w:u w:val="single"/>
      </w:rPr>
      <w:t>ITIP Hearing</w:t>
    </w:r>
    <w:r w:rsidR="006E705A" w:rsidRPr="00DF0237">
      <w:rPr>
        <w:b/>
        <w:u w:val="single"/>
      </w:rPr>
      <w:t xml:space="preserve"> </w:t>
    </w:r>
    <w:r w:rsidR="006E705A" w:rsidRPr="00DF0237">
      <w:rPr>
        <w:b/>
        <w:u w:val="single"/>
      </w:rPr>
      <w:tab/>
      <w:t>AGENDA</w:t>
    </w:r>
    <w:r w:rsidR="006E705A" w:rsidRPr="00DF0237">
      <w:rPr>
        <w:b/>
        <w:u w:val="single"/>
      </w:rPr>
      <w:tab/>
    </w:r>
    <w:r w:rsidR="00D72D0D">
      <w:rPr>
        <w:b/>
        <w:u w:val="single"/>
      </w:rPr>
      <w:t>November 1</w:t>
    </w:r>
    <w:r w:rsidR="006E705A" w:rsidRPr="00DF0237">
      <w:rPr>
        <w:b/>
        <w:u w:val="single"/>
      </w:rPr>
      <w:t xml:space="preserve">, </w:t>
    </w:r>
    <w:r w:rsidR="00D72D0D">
      <w:rPr>
        <w:b/>
        <w:u w:val="single"/>
      </w:rPr>
      <w:t>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87"/>
    <w:rsid w:val="00036975"/>
    <w:rsid w:val="00044AF5"/>
    <w:rsid w:val="000929B1"/>
    <w:rsid w:val="000A6CB0"/>
    <w:rsid w:val="000D00B3"/>
    <w:rsid w:val="000F5398"/>
    <w:rsid w:val="00100BE4"/>
    <w:rsid w:val="00106DE3"/>
    <w:rsid w:val="00126419"/>
    <w:rsid w:val="001815C0"/>
    <w:rsid w:val="001831A1"/>
    <w:rsid w:val="00195333"/>
    <w:rsid w:val="001E121F"/>
    <w:rsid w:val="001E415D"/>
    <w:rsid w:val="001F2A12"/>
    <w:rsid w:val="002277ED"/>
    <w:rsid w:val="002822A8"/>
    <w:rsid w:val="00295678"/>
    <w:rsid w:val="00297195"/>
    <w:rsid w:val="002A37C0"/>
    <w:rsid w:val="002C7C5B"/>
    <w:rsid w:val="002E79AD"/>
    <w:rsid w:val="00303A3B"/>
    <w:rsid w:val="003B0E4B"/>
    <w:rsid w:val="003D20A0"/>
    <w:rsid w:val="003D7756"/>
    <w:rsid w:val="004316D1"/>
    <w:rsid w:val="00434C44"/>
    <w:rsid w:val="00443111"/>
    <w:rsid w:val="00444A87"/>
    <w:rsid w:val="004760F2"/>
    <w:rsid w:val="004F62C6"/>
    <w:rsid w:val="00542F2B"/>
    <w:rsid w:val="005A33CE"/>
    <w:rsid w:val="005D4479"/>
    <w:rsid w:val="005E622C"/>
    <w:rsid w:val="00632B94"/>
    <w:rsid w:val="006606EA"/>
    <w:rsid w:val="006A37B8"/>
    <w:rsid w:val="006D398E"/>
    <w:rsid w:val="006D69A4"/>
    <w:rsid w:val="006E705A"/>
    <w:rsid w:val="00745259"/>
    <w:rsid w:val="00772017"/>
    <w:rsid w:val="007736EB"/>
    <w:rsid w:val="00774369"/>
    <w:rsid w:val="007A201A"/>
    <w:rsid w:val="007A5C2B"/>
    <w:rsid w:val="007F5837"/>
    <w:rsid w:val="008003ED"/>
    <w:rsid w:val="00834F6E"/>
    <w:rsid w:val="008B52FF"/>
    <w:rsid w:val="008C0D42"/>
    <w:rsid w:val="009842C5"/>
    <w:rsid w:val="009C6A8B"/>
    <w:rsid w:val="009D0CF3"/>
    <w:rsid w:val="009D5D2D"/>
    <w:rsid w:val="009E00A6"/>
    <w:rsid w:val="009F0531"/>
    <w:rsid w:val="009F4509"/>
    <w:rsid w:val="00A30BD7"/>
    <w:rsid w:val="00A518B0"/>
    <w:rsid w:val="00A61AC4"/>
    <w:rsid w:val="00A63632"/>
    <w:rsid w:val="00AA3B17"/>
    <w:rsid w:val="00AA7347"/>
    <w:rsid w:val="00AD4568"/>
    <w:rsid w:val="00AE45B1"/>
    <w:rsid w:val="00B04AE9"/>
    <w:rsid w:val="00B33142"/>
    <w:rsid w:val="00B358F6"/>
    <w:rsid w:val="00B374CD"/>
    <w:rsid w:val="00B457D8"/>
    <w:rsid w:val="00B4738E"/>
    <w:rsid w:val="00B76CC6"/>
    <w:rsid w:val="00BB495F"/>
    <w:rsid w:val="00BC7C40"/>
    <w:rsid w:val="00BE1B5F"/>
    <w:rsid w:val="00C20D33"/>
    <w:rsid w:val="00C808D0"/>
    <w:rsid w:val="00CA5E40"/>
    <w:rsid w:val="00CA780D"/>
    <w:rsid w:val="00CC15E2"/>
    <w:rsid w:val="00D11908"/>
    <w:rsid w:val="00D304D2"/>
    <w:rsid w:val="00D5060C"/>
    <w:rsid w:val="00D52C63"/>
    <w:rsid w:val="00D548C0"/>
    <w:rsid w:val="00D72D0D"/>
    <w:rsid w:val="00D91C2B"/>
    <w:rsid w:val="00D97C15"/>
    <w:rsid w:val="00DE5F27"/>
    <w:rsid w:val="00DF0237"/>
    <w:rsid w:val="00E15E7B"/>
    <w:rsid w:val="00E22270"/>
    <w:rsid w:val="00E30532"/>
    <w:rsid w:val="00E40F1D"/>
    <w:rsid w:val="00EF38F1"/>
    <w:rsid w:val="00F02E4A"/>
    <w:rsid w:val="00F065E3"/>
    <w:rsid w:val="00F3742F"/>
    <w:rsid w:val="00F474AB"/>
    <w:rsid w:val="00F70F47"/>
    <w:rsid w:val="00F85322"/>
    <w:rsid w:val="00F96523"/>
    <w:rsid w:val="00FA069E"/>
    <w:rsid w:val="00FD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A3ACFC"/>
  <w15:chartTrackingRefBased/>
  <w15:docId w15:val="{FA7BAD9C-4D85-4B98-8E83-FDB03928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87"/>
    <w:rPr>
      <w:rFonts w:ascii="Arial" w:hAnsi="Arial" w:cs="Arial"/>
      <w:sz w:val="24"/>
      <w:szCs w:val="24"/>
    </w:rPr>
  </w:style>
  <w:style w:type="paragraph" w:styleId="Heading1">
    <w:name w:val="heading 1"/>
    <w:basedOn w:val="Title"/>
    <w:next w:val="Normal"/>
    <w:link w:val="Heading1Char"/>
    <w:uiPriority w:val="9"/>
    <w:qFormat/>
    <w:rsid w:val="00F474AB"/>
    <w:pPr>
      <w:spacing w:after="120"/>
      <w:jc w:val="center"/>
      <w:outlineLvl w:val="0"/>
    </w:pPr>
    <w:rPr>
      <w:b/>
      <w:u w:val="single"/>
    </w:rPr>
  </w:style>
  <w:style w:type="paragraph" w:styleId="Heading2">
    <w:name w:val="heading 2"/>
    <w:basedOn w:val="Heading4"/>
    <w:next w:val="Normal"/>
    <w:link w:val="Heading2Char"/>
    <w:uiPriority w:val="9"/>
    <w:unhideWhenUsed/>
    <w:qFormat/>
    <w:rsid w:val="009842C5"/>
    <w:pPr>
      <w:jc w:val="center"/>
      <w:outlineLvl w:val="1"/>
    </w:pPr>
    <w:rPr>
      <w:b/>
      <w:sz w:val="28"/>
    </w:rPr>
  </w:style>
  <w:style w:type="paragraph" w:styleId="Heading3">
    <w:name w:val="heading 3"/>
    <w:basedOn w:val="Normal"/>
    <w:next w:val="Normal"/>
    <w:link w:val="Heading3Char"/>
    <w:uiPriority w:val="9"/>
    <w:unhideWhenUsed/>
    <w:qFormat/>
    <w:rsid w:val="00AD4568"/>
    <w:pPr>
      <w:spacing w:before="240"/>
      <w:jc w:val="center"/>
      <w:outlineLvl w:val="2"/>
    </w:pPr>
    <w:rPr>
      <w:b/>
      <w:sz w:val="28"/>
      <w:szCs w:val="28"/>
      <w:u w:val="single"/>
    </w:rPr>
  </w:style>
  <w:style w:type="paragraph" w:styleId="Heading4">
    <w:name w:val="heading 4"/>
    <w:basedOn w:val="Normal"/>
    <w:next w:val="Normal"/>
    <w:link w:val="Heading4Char"/>
    <w:uiPriority w:val="9"/>
    <w:unhideWhenUsed/>
    <w:qFormat/>
    <w:rsid w:val="009842C5"/>
    <w:pPr>
      <w:keepNext/>
      <w:keepLines/>
      <w:spacing w:before="40"/>
      <w:outlineLvl w:val="3"/>
    </w:pPr>
    <w:rPr>
      <w:rFonts w:eastAsiaTheme="majorEastAsia" w:cstheme="majorBidi"/>
      <w:iCs/>
    </w:rPr>
  </w:style>
  <w:style w:type="paragraph" w:styleId="Heading5">
    <w:name w:val="heading 5"/>
    <w:basedOn w:val="Normal"/>
    <w:next w:val="Normal"/>
    <w:link w:val="Heading5Char"/>
    <w:uiPriority w:val="9"/>
    <w:unhideWhenUsed/>
    <w:qFormat/>
    <w:rsid w:val="00B76CC6"/>
    <w:pPr>
      <w:keepNext/>
      <w:keepLines/>
      <w:spacing w:before="40"/>
      <w:outlineLvl w:val="4"/>
    </w:pPr>
    <w:rPr>
      <w:rFonts w:eastAsiaTheme="majorEastAsia" w:cstheme="majorBid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3111"/>
    <w:pPr>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43111"/>
    <w:rPr>
      <w:rFonts w:ascii="Arial" w:eastAsiaTheme="majorEastAsia" w:hAnsi="Arial" w:cstheme="majorBidi"/>
      <w:spacing w:val="-10"/>
      <w:kern w:val="28"/>
      <w:sz w:val="40"/>
      <w:szCs w:val="56"/>
    </w:rPr>
  </w:style>
  <w:style w:type="character" w:customStyle="1" w:styleId="Heading1Char">
    <w:name w:val="Heading 1 Char"/>
    <w:basedOn w:val="DefaultParagraphFont"/>
    <w:link w:val="Heading1"/>
    <w:uiPriority w:val="9"/>
    <w:rsid w:val="00F474AB"/>
    <w:rPr>
      <w:rFonts w:ascii="Arial" w:eastAsiaTheme="majorEastAsia" w:hAnsi="Arial" w:cstheme="majorBidi"/>
      <w:b/>
      <w:spacing w:val="-10"/>
      <w:kern w:val="28"/>
      <w:sz w:val="40"/>
      <w:szCs w:val="56"/>
      <w:u w:val="single"/>
    </w:rPr>
  </w:style>
  <w:style w:type="character" w:customStyle="1" w:styleId="Heading2Char">
    <w:name w:val="Heading 2 Char"/>
    <w:basedOn w:val="DefaultParagraphFont"/>
    <w:link w:val="Heading2"/>
    <w:uiPriority w:val="9"/>
    <w:rsid w:val="009842C5"/>
    <w:rPr>
      <w:rFonts w:ascii="Arial" w:eastAsiaTheme="majorEastAsia" w:hAnsi="Arial" w:cstheme="majorBidi"/>
      <w:b/>
      <w:iCs/>
      <w:sz w:val="28"/>
      <w:szCs w:val="24"/>
    </w:rPr>
  </w:style>
  <w:style w:type="character" w:customStyle="1" w:styleId="Heading3Char">
    <w:name w:val="Heading 3 Char"/>
    <w:basedOn w:val="DefaultParagraphFont"/>
    <w:link w:val="Heading3"/>
    <w:uiPriority w:val="9"/>
    <w:rsid w:val="00AD4568"/>
    <w:rPr>
      <w:rFonts w:ascii="Arial" w:hAnsi="Arial" w:cs="Arial"/>
      <w:b/>
      <w:sz w:val="28"/>
      <w:szCs w:val="28"/>
      <w:u w:val="single"/>
    </w:rPr>
  </w:style>
  <w:style w:type="character" w:customStyle="1" w:styleId="Heading4Char">
    <w:name w:val="Heading 4 Char"/>
    <w:basedOn w:val="DefaultParagraphFont"/>
    <w:link w:val="Heading4"/>
    <w:uiPriority w:val="9"/>
    <w:rsid w:val="009842C5"/>
    <w:rPr>
      <w:rFonts w:ascii="Arial" w:eastAsiaTheme="majorEastAsia" w:hAnsi="Arial" w:cstheme="majorBidi"/>
      <w:iCs/>
      <w:sz w:val="24"/>
      <w:szCs w:val="24"/>
    </w:rPr>
  </w:style>
  <w:style w:type="paragraph" w:styleId="NoSpacing">
    <w:name w:val="No Spacing"/>
    <w:basedOn w:val="Normal"/>
    <w:uiPriority w:val="1"/>
    <w:qFormat/>
    <w:rsid w:val="001F2A12"/>
    <w:pPr>
      <w:spacing w:after="960"/>
      <w:jc w:val="center"/>
    </w:pPr>
    <w:rPr>
      <w:b/>
      <w:sz w:val="26"/>
      <w:szCs w:val="26"/>
    </w:rPr>
  </w:style>
  <w:style w:type="character" w:customStyle="1" w:styleId="Heading5Char">
    <w:name w:val="Heading 5 Char"/>
    <w:basedOn w:val="DefaultParagraphFont"/>
    <w:link w:val="Heading5"/>
    <w:uiPriority w:val="9"/>
    <w:rsid w:val="00B76CC6"/>
    <w:rPr>
      <w:rFonts w:ascii="Arial" w:eastAsiaTheme="majorEastAsia" w:hAnsi="Arial" w:cstheme="majorBidi"/>
      <w:sz w:val="26"/>
      <w:szCs w:val="24"/>
    </w:rPr>
  </w:style>
  <w:style w:type="paragraph" w:styleId="ListParagraph">
    <w:name w:val="List Paragraph"/>
    <w:basedOn w:val="Normal"/>
    <w:uiPriority w:val="34"/>
    <w:qFormat/>
    <w:rsid w:val="009F4509"/>
    <w:pPr>
      <w:ind w:left="720"/>
      <w:contextualSpacing/>
    </w:pPr>
  </w:style>
  <w:style w:type="paragraph" w:styleId="Header">
    <w:name w:val="header"/>
    <w:aliases w:val=" Char,Char"/>
    <w:basedOn w:val="Normal"/>
    <w:link w:val="HeaderChar"/>
    <w:unhideWhenUsed/>
    <w:rsid w:val="00774369"/>
    <w:pPr>
      <w:tabs>
        <w:tab w:val="center" w:pos="4680"/>
        <w:tab w:val="right" w:pos="9360"/>
      </w:tabs>
    </w:pPr>
  </w:style>
  <w:style w:type="character" w:customStyle="1" w:styleId="HeaderChar">
    <w:name w:val="Header Char"/>
    <w:aliases w:val=" Char Char,Char Char"/>
    <w:basedOn w:val="DefaultParagraphFont"/>
    <w:link w:val="Header"/>
    <w:rsid w:val="00774369"/>
    <w:rPr>
      <w:rFonts w:ascii="Arial" w:hAnsi="Arial" w:cs="Arial"/>
      <w:sz w:val="24"/>
      <w:szCs w:val="24"/>
    </w:rPr>
  </w:style>
  <w:style w:type="paragraph" w:styleId="Footer">
    <w:name w:val="footer"/>
    <w:basedOn w:val="Normal"/>
    <w:link w:val="FooterChar"/>
    <w:uiPriority w:val="99"/>
    <w:unhideWhenUsed/>
    <w:rsid w:val="00774369"/>
    <w:pPr>
      <w:tabs>
        <w:tab w:val="center" w:pos="4680"/>
        <w:tab w:val="right" w:pos="9360"/>
      </w:tabs>
    </w:pPr>
  </w:style>
  <w:style w:type="character" w:customStyle="1" w:styleId="FooterChar">
    <w:name w:val="Footer Char"/>
    <w:basedOn w:val="DefaultParagraphFont"/>
    <w:link w:val="Footer"/>
    <w:uiPriority w:val="99"/>
    <w:rsid w:val="00774369"/>
    <w:rPr>
      <w:rFonts w:ascii="Arial" w:hAnsi="Arial" w:cs="Arial"/>
      <w:sz w:val="24"/>
      <w:szCs w:val="24"/>
    </w:rPr>
  </w:style>
  <w:style w:type="table" w:styleId="TableGrid">
    <w:name w:val="Table Grid"/>
    <w:basedOn w:val="TableNormal"/>
    <w:uiPriority w:val="39"/>
    <w:rsid w:val="00D54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548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enda">
    <w:name w:val="Agenda"/>
    <w:rsid w:val="001831A1"/>
    <w:pPr>
      <w:tabs>
        <w:tab w:val="left" w:pos="540"/>
        <w:tab w:val="left" w:pos="1260"/>
        <w:tab w:val="left" w:pos="1980"/>
        <w:tab w:val="left" w:pos="2880"/>
        <w:tab w:val="left" w:pos="3600"/>
        <w:tab w:val="left" w:pos="9540"/>
        <w:tab w:val="right" w:pos="10080"/>
      </w:tabs>
      <w:ind w:left="2880" w:right="1080" w:hanging="2880"/>
    </w:pPr>
    <w:rPr>
      <w:rFonts w:ascii="Arial" w:eastAsia="Times New Roman" w:hAnsi="Arial" w:cs="Times New Roman"/>
      <w:sz w:val="20"/>
      <w:szCs w:val="20"/>
    </w:rPr>
  </w:style>
  <w:style w:type="paragraph" w:customStyle="1" w:styleId="cell">
    <w:name w:val="cell"/>
    <w:basedOn w:val="Normal"/>
    <w:link w:val="cellChar"/>
    <w:rsid w:val="00036975"/>
    <w:pPr>
      <w:tabs>
        <w:tab w:val="left" w:pos="547"/>
        <w:tab w:val="left" w:pos="1267"/>
        <w:tab w:val="left" w:pos="1987"/>
        <w:tab w:val="left" w:pos="2880"/>
        <w:tab w:val="left" w:pos="3600"/>
        <w:tab w:val="left" w:pos="9540"/>
        <w:tab w:val="left" w:pos="10080"/>
      </w:tabs>
    </w:pPr>
  </w:style>
  <w:style w:type="character" w:customStyle="1" w:styleId="cellChar">
    <w:name w:val="cell Char"/>
    <w:basedOn w:val="DefaultParagraphFont"/>
    <w:link w:val="cell"/>
    <w:rsid w:val="00036975"/>
    <w:rPr>
      <w:rFonts w:ascii="Arial" w:hAnsi="Arial" w:cs="Arial"/>
      <w:sz w:val="24"/>
      <w:szCs w:val="24"/>
    </w:rPr>
  </w:style>
  <w:style w:type="character" w:styleId="Hyperlink">
    <w:name w:val="Hyperlink"/>
    <w:basedOn w:val="DefaultParagraphFont"/>
    <w:uiPriority w:val="99"/>
    <w:unhideWhenUsed/>
    <w:rsid w:val="00B358F6"/>
    <w:rPr>
      <w:color w:val="0563C1" w:themeColor="hyperlink"/>
      <w:u w:val="single"/>
    </w:rPr>
  </w:style>
  <w:style w:type="character" w:styleId="UnresolvedMention">
    <w:name w:val="Unresolved Mention"/>
    <w:basedOn w:val="DefaultParagraphFont"/>
    <w:uiPriority w:val="99"/>
    <w:semiHidden/>
    <w:unhideWhenUsed/>
    <w:rsid w:val="00B358F6"/>
    <w:rPr>
      <w:color w:val="605E5C"/>
      <w:shd w:val="clear" w:color="auto" w:fill="E1DFDD"/>
    </w:rPr>
  </w:style>
  <w:style w:type="paragraph" w:styleId="BalloonText">
    <w:name w:val="Balloon Text"/>
    <w:basedOn w:val="Normal"/>
    <w:link w:val="BalloonTextChar"/>
    <w:uiPriority w:val="99"/>
    <w:semiHidden/>
    <w:unhideWhenUsed/>
    <w:rsid w:val="009C6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A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tc@catc.ca.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atc.c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atc.ca.gov"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attendee.gotowebinar.com/register/3578125715581173007"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AE893-8967-4939-8DCF-38D5A95B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Estimated Timed Agenda</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Estimated Timed Agenda</dc:title>
  <dc:subject/>
  <dc:creator>Castro, Eric@CATC</dc:creator>
  <cp:keywords>Agenda</cp:keywords>
  <dc:description/>
  <cp:lastModifiedBy>Remedios, Douglas@CATC</cp:lastModifiedBy>
  <cp:revision>4</cp:revision>
  <cp:lastPrinted>2019-08-29T17:30:00Z</cp:lastPrinted>
  <dcterms:created xsi:type="dcterms:W3CDTF">2021-10-19T15:46:00Z</dcterms:created>
  <dcterms:modified xsi:type="dcterms:W3CDTF">2021-10-19T15:49:00Z</dcterms:modified>
</cp:coreProperties>
</file>